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A5" w:rsidRDefault="00D30AA5" w:rsidP="00D30AA5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hu-HU"/>
        </w:rPr>
      </w:pPr>
      <w:r w:rsidRPr="00D30AA5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hu-HU"/>
        </w:rPr>
        <w:t>Tájékoztatás Téli átigazolási időszakról</w:t>
      </w:r>
    </w:p>
    <w:p w:rsidR="00D30AA5" w:rsidRDefault="00D30AA5" w:rsidP="00D30AA5">
      <w:pPr>
        <w:spacing w:before="15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hu-HU"/>
        </w:rPr>
      </w:pPr>
      <w:r>
        <w:rPr>
          <w:rFonts w:ascii="Arial" w:hAnsi="Arial" w:cs="Arial"/>
          <w:color w:val="343434"/>
          <w:sz w:val="21"/>
          <w:szCs w:val="21"/>
          <w:shd w:val="clear" w:color="auto" w:fill="FFFFFF"/>
        </w:rPr>
        <w:t xml:space="preserve">A jelenleg érvényben lévő Nyilvántartási, Igazolási és Átigazolási Szabályzat 18.§.5. pontja szerint a téli átigazolási időszak a labdarúgás és a futsal szakágakban, korosztálytól függetlenül (felnőtt, utánpótlás </w:t>
      </w:r>
      <w:r w:rsidR="007374B2">
        <w:rPr>
          <w:rFonts w:ascii="Arial" w:hAnsi="Arial" w:cs="Arial"/>
          <w:color w:val="343434"/>
          <w:sz w:val="21"/>
          <w:szCs w:val="21"/>
          <w:shd w:val="clear" w:color="auto" w:fill="FFFFFF"/>
        </w:rPr>
        <w:t>vonatkozásban) 2020</w:t>
      </w:r>
      <w:bookmarkStart w:id="0" w:name="_GoBack"/>
      <w:bookmarkEnd w:id="0"/>
      <w:r>
        <w:rPr>
          <w:rFonts w:ascii="Arial" w:hAnsi="Arial" w:cs="Arial"/>
          <w:color w:val="343434"/>
          <w:sz w:val="21"/>
          <w:szCs w:val="21"/>
          <w:shd w:val="clear" w:color="auto" w:fill="FFFFFF"/>
        </w:rPr>
        <w:t>. január 15-től február 14 éjfélig tart. </w:t>
      </w:r>
    </w:p>
    <w:p w:rsidR="00F968C0" w:rsidRDefault="00F968C0" w:rsidP="00F968C0">
      <w:pPr>
        <w:pStyle w:val="Norm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További fontos információ, hogy a Nyilvántartási, Igazolási és Átigazolási Szabályzatban (továbbiakban: NYIÁSZ) meghatározott kedvezményes tranzakciókat leszámítva szakágtól és korosztálytól függetlenül télen nincsen szabadon igazolható időszak, így csak az átadó sportszervezet hozzájárulásával hagyható jóvá az átigazolási kérelem. A beadott igazolási és átigazolási kérelmek érvényességének ideje változatlanul 30 nap, a hiánypótlásra is ezen időtartam alatt van mód és lehetőség</w:t>
      </w:r>
    </w:p>
    <w:p w:rsidR="00D30AA5" w:rsidRDefault="00F968C0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  <w:r w:rsidRPr="00D30AA5">
        <w:rPr>
          <w:rStyle w:val="Kiemels2"/>
          <w:rFonts w:ascii="Arial" w:hAnsi="Arial" w:cs="Arial"/>
          <w:color w:val="343434"/>
          <w:sz w:val="21"/>
          <w:szCs w:val="21"/>
        </w:rPr>
        <w:t>Felnőtt működési költségtérítés ("A" táblázat):</w:t>
      </w:r>
    </w:p>
    <w:p w:rsidR="00F968C0" w:rsidRDefault="00F968C0" w:rsidP="00D30AA5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br/>
      </w:r>
      <w:r>
        <w:rPr>
          <w:rFonts w:ascii="Arial" w:hAnsi="Arial" w:cs="Arial"/>
          <w:color w:val="343434"/>
          <w:sz w:val="21"/>
          <w:szCs w:val="21"/>
        </w:rPr>
        <w:t xml:space="preserve">Felhívjuk szíves figyelmüket, hogy a téli átigazolási időszakban az amatőr férfi, női, valamint futsal 19 év feletti labdarúgó belföldi átigazolásakor, az átadó és az átvevő sportszervezet a </w:t>
      </w:r>
      <w:proofErr w:type="spellStart"/>
      <w:r>
        <w:rPr>
          <w:rFonts w:ascii="Arial" w:hAnsi="Arial" w:cs="Arial"/>
          <w:color w:val="343434"/>
          <w:sz w:val="21"/>
          <w:szCs w:val="21"/>
        </w:rPr>
        <w:t>NYIÁSZ-ban</w:t>
      </w:r>
      <w:proofErr w:type="spellEnd"/>
      <w:r>
        <w:rPr>
          <w:rFonts w:ascii="Arial" w:hAnsi="Arial" w:cs="Arial"/>
          <w:color w:val="343434"/>
          <w:sz w:val="21"/>
          <w:szCs w:val="21"/>
        </w:rPr>
        <w:t xml:space="preserve"> előre meghatározott maximum összeghatárig állapodhat meg az „A” táblázatnak (lásd lentebb) megfelelően, melynek összegéről az átadó sportszervezet írásban le is mondhat.</w:t>
      </w:r>
    </w:p>
    <w:p w:rsidR="00D30AA5" w:rsidRDefault="00D30AA5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</w:p>
    <w:p w:rsidR="00D30AA5" w:rsidRDefault="00D30AA5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</w:p>
    <w:p w:rsidR="00D30AA5" w:rsidRDefault="00D30AA5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  <w:r>
        <w:rPr>
          <w:rStyle w:val="Kiemels2"/>
          <w:rFonts w:ascii="Arial" w:hAnsi="Arial" w:cs="Arial"/>
          <w:noProof/>
          <w:color w:val="343434"/>
          <w:sz w:val="21"/>
          <w:szCs w:val="21"/>
        </w:rPr>
        <w:drawing>
          <wp:inline distT="0" distB="0" distL="0" distR="0">
            <wp:extent cx="5743575" cy="1952625"/>
            <wp:effectExtent l="0" t="0" r="9525" b="9525"/>
            <wp:docPr id="1" name="Kép 1" descr="C:\Users\mlszheves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szheves\Desktop\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A5" w:rsidRDefault="00D30AA5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</w:p>
    <w:p w:rsidR="00D30AA5" w:rsidRDefault="00D30AA5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</w:p>
    <w:p w:rsidR="00D30AA5" w:rsidRDefault="00F968C0" w:rsidP="00D30AA5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343434"/>
          <w:sz w:val="21"/>
          <w:szCs w:val="21"/>
        </w:rPr>
      </w:pPr>
      <w:r>
        <w:rPr>
          <w:rStyle w:val="Kiemels2"/>
          <w:rFonts w:ascii="Arial" w:hAnsi="Arial" w:cs="Arial"/>
          <w:color w:val="343434"/>
          <w:sz w:val="21"/>
          <w:szCs w:val="21"/>
        </w:rPr>
        <w:t>Utánpótlás működési költségtérítés ("B" táblázat):</w:t>
      </w:r>
    </w:p>
    <w:p w:rsidR="0071706E" w:rsidRPr="00D30AA5" w:rsidRDefault="00F968C0" w:rsidP="00D30AA5">
      <w:pPr>
        <w:pStyle w:val="Norm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b/>
          <w:bCs/>
          <w:color w:val="343434"/>
          <w:sz w:val="21"/>
          <w:szCs w:val="21"/>
        </w:rPr>
        <w:br/>
      </w:r>
      <w:r>
        <w:rPr>
          <w:rFonts w:ascii="Arial" w:hAnsi="Arial" w:cs="Arial"/>
          <w:color w:val="343434"/>
          <w:sz w:val="21"/>
          <w:szCs w:val="21"/>
        </w:rPr>
        <w:t>Az amatőr 19 év alatti férfi utánpótlás labdarúgó (kivéve futsal, strandlabdarúgás) belföldi átigazolásakor minden esetben, minden átigazolási időszakban a "B" táblázatban (lásd lentebb) foglaltak szerinti összeg fizetendő az ott töltött éveknek megfelelően. A táblázatban szereplő összegektől, minden átigazolási időszakban, a két sportszervezet közös megállapodás alapján eltérhet úgy, hogy a táblázatban feltüntetett működési költségtérítési összegek minimum 10%-a minden esetben kötelezően fizetendő. </w:t>
      </w:r>
      <w:r>
        <w:rPr>
          <w:rStyle w:val="Kiemels2"/>
          <w:rFonts w:ascii="Arial" w:hAnsi="Arial" w:cs="Arial"/>
          <w:color w:val="343434"/>
          <w:sz w:val="21"/>
          <w:szCs w:val="21"/>
        </w:rPr>
        <w:t>Működési költségtérítésként elszámolható az a bajnoki év, amelyre a labdarúgó érvényes versenyengedéllyel rendelkezett és az adott bajnoki versenyévben hivatalos mérkőzésen pályára is lépett.</w:t>
      </w:r>
      <w:r>
        <w:rPr>
          <w:rFonts w:ascii="Arial" w:hAnsi="Arial" w:cs="Arial"/>
          <w:color w:val="343434"/>
          <w:sz w:val="21"/>
          <w:szCs w:val="21"/>
        </w:rPr>
        <w:t> A táblázatnál a sportszervezetek legmagasabb versenyeztetett utánpótlás korosztályának besorolása a mérvadó.</w:t>
      </w:r>
      <w:r w:rsidR="00D30AA5" w:rsidRPr="00D30AA5">
        <w:rPr>
          <w:rStyle w:val="Kiemels2"/>
          <w:rFonts w:ascii="Arial" w:hAnsi="Arial" w:cs="Arial"/>
          <w:noProof/>
          <w:color w:val="343434"/>
          <w:sz w:val="21"/>
          <w:szCs w:val="21"/>
        </w:rPr>
        <w:t xml:space="preserve"> </w:t>
      </w:r>
      <w:r w:rsidR="00D30AA5">
        <w:rPr>
          <w:rStyle w:val="Kiemels2"/>
          <w:rFonts w:ascii="Arial" w:hAnsi="Arial" w:cs="Arial"/>
          <w:noProof/>
          <w:color w:val="343434"/>
          <w:sz w:val="21"/>
          <w:szCs w:val="21"/>
        </w:rPr>
        <w:drawing>
          <wp:inline distT="0" distB="0" distL="0" distR="0" wp14:anchorId="17C12079" wp14:editId="67076F5D">
            <wp:extent cx="5743575" cy="1533525"/>
            <wp:effectExtent l="0" t="0" r="9525" b="9525"/>
            <wp:docPr id="2" name="Kép 2" descr="C:\Users\mlszheves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szheves\Desktop\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06E" w:rsidRPr="00D30AA5" w:rsidSect="00D30A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0"/>
    <w:rsid w:val="0071706E"/>
    <w:rsid w:val="007374B2"/>
    <w:rsid w:val="00B66C97"/>
    <w:rsid w:val="00D30AA5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C494-A658-4DD3-8A54-C596E6A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3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-text">
    <w:name w:val="lead-text"/>
    <w:basedOn w:val="Norml"/>
    <w:rsid w:val="00F9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9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68C0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30AA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- Heves megyei Igazgatóság</dc:creator>
  <cp:keywords/>
  <dc:description/>
  <cp:lastModifiedBy>MLSZ - Heves megyei Igazgatóság</cp:lastModifiedBy>
  <cp:revision>4</cp:revision>
  <dcterms:created xsi:type="dcterms:W3CDTF">2020-01-06T12:33:00Z</dcterms:created>
  <dcterms:modified xsi:type="dcterms:W3CDTF">2020-01-13T08:07:00Z</dcterms:modified>
</cp:coreProperties>
</file>